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>Streszczenie</w:t>
      </w:r>
      <w:r w:rsidR="00FA20A1">
        <w:rPr>
          <w:sz w:val="24"/>
          <w:szCs w:val="24"/>
        </w:rPr>
        <w:t xml:space="preserve">  </w:t>
      </w:r>
      <w:r w:rsidR="0028073F">
        <w:rPr>
          <w:sz w:val="24"/>
          <w:szCs w:val="24"/>
        </w:rPr>
        <w:t>Krzysztof Kawałek</w:t>
      </w:r>
      <w:bookmarkStart w:id="0" w:name="_GoBack"/>
      <w:bookmarkEnd w:id="0"/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ab/>
        <w:t>Bóle kręgosłupa to poważny problem społeczny i ekonomiczny. Mogą one pojawiać się w wyniku nagłego urazu lub mieć charakter przeciążeniowy, czyli powstawać w efekcie długotrwałych i wielokrotnie powtarzanych ruchów, które prowadzą do przekroczenia wytrzymałości fizycznej mięśni, kości i stawów.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>Przeciążania kręgosłupa mogą powstawać na skutek wykonywania aktywności dnia codziennego, pracy zawodowej a także wyczynowego uprawiania sportu.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>Dyscypliną sportową, w której kręgosłup lędźwiowym poddawany jest znacznym obciążeniom hokej na trawie, ponieważ w znacznej większości treningu lub meczu zawodnicy znajdują się w pozycji pochylenia tułowia do przodu.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ab/>
        <w:t xml:space="preserve">Kręgosłup nie jest wyizolowaną strukturą w układzie ruchu, a jedynie częścią złożonego łańcucha kinematycznego. Zatem zmiany strukturalne kręgosłupa mogą powstawać w wyniku istniejących zaburzeń funkcjonalnych w stawach kończyn i odwrotnie - zmiany strukturalne w stawach kończyn mogą powstawać w wyniku występowania zmian funkcjonalnych w obrębie kręgosłupa. 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ab/>
        <w:t>Z tego względu w pracy podjęto próbę zidentyfikowania mechanizmu prowadzącego do powstania zmian przeciążeniowych kręgosłupa. Badania zostały przeprowadzone na grupie dwudziestu zawodników wyczynowo uprawiających hokej na trawie - członków Reprezentacji Polski. Wiek badanych był w przedziale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>24-36 lat, a staż treningowy wynosił 14-26 lat. Grupę kontrolną stanowili pracownicy biurowi w podobnym wieku.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ab/>
        <w:t>W pracy zastosowano złożony program badawczy. Zmierzono siłę reakcji podłoża w trakcie pchnięcia forhendowego oraz siłę mięśni stawu kolanowego.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 xml:space="preserve">Następnie, na podstawie obrazów uzyskanych w badaniu tomografii komputerowej, wyznaczono parametry geometryczne kręgosłupa i krążków międzykręgowych, które uzupełniono o badanie zakresów ruchomości </w:t>
      </w:r>
      <w:proofErr w:type="spellStart"/>
      <w:r w:rsidRPr="00E80344">
        <w:rPr>
          <w:sz w:val="24"/>
          <w:szCs w:val="24"/>
        </w:rPr>
        <w:t>elektrogoniometrem</w:t>
      </w:r>
      <w:proofErr w:type="spellEnd"/>
      <w:r w:rsidRPr="00E80344">
        <w:rPr>
          <w:sz w:val="24"/>
          <w:szCs w:val="24"/>
        </w:rPr>
        <w:t xml:space="preserve">, wyznaczenie kąta </w:t>
      </w:r>
      <w:proofErr w:type="spellStart"/>
      <w:r w:rsidRPr="00E80344">
        <w:rPr>
          <w:sz w:val="24"/>
          <w:szCs w:val="24"/>
        </w:rPr>
        <w:t>przodopochylenia</w:t>
      </w:r>
      <w:proofErr w:type="spellEnd"/>
      <w:r w:rsidRPr="00E80344">
        <w:rPr>
          <w:sz w:val="24"/>
          <w:szCs w:val="24"/>
        </w:rPr>
        <w:t xml:space="preserve"> miednicy cyrklem </w:t>
      </w:r>
      <w:proofErr w:type="spellStart"/>
      <w:r w:rsidRPr="00E80344">
        <w:rPr>
          <w:sz w:val="24"/>
          <w:szCs w:val="24"/>
        </w:rPr>
        <w:t>Wilesa</w:t>
      </w:r>
      <w:proofErr w:type="spellEnd"/>
      <w:r w:rsidRPr="00E80344">
        <w:rPr>
          <w:sz w:val="24"/>
          <w:szCs w:val="24"/>
        </w:rPr>
        <w:t xml:space="preserve"> oraz zmierzenie siły mięśni rotatorów tułowia. Uzyskane </w:t>
      </w:r>
      <w:proofErr w:type="spellStart"/>
      <w:r w:rsidRPr="00E80344">
        <w:rPr>
          <w:sz w:val="24"/>
          <w:szCs w:val="24"/>
        </w:rPr>
        <w:t>tomogramy</w:t>
      </w:r>
      <w:proofErr w:type="spellEnd"/>
      <w:r w:rsidRPr="00E80344">
        <w:rPr>
          <w:sz w:val="24"/>
          <w:szCs w:val="24"/>
        </w:rPr>
        <w:t xml:space="preserve"> posłużyły również do wyznaczenia wartości gęstości radiologicznej trzonów kręgowych oraz ich modułu Younga - czyli parametru opisującego sprężystość.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ab/>
        <w:t xml:space="preserve">Uzyskane wyniki wykazały szereg zmian patologicznych. Zaobserwowano istotną różnicę w nacisku prawej i lewej kończyny dolnej w trakcie pchnięcia forhendowego, </w:t>
      </w:r>
      <w:r w:rsidRPr="00E80344">
        <w:rPr>
          <w:sz w:val="24"/>
          <w:szCs w:val="24"/>
        </w:rPr>
        <w:lastRenderedPageBreak/>
        <w:t xml:space="preserve">które nie przeniosło się jednak na asymetrię siły mięśni kończyn dolnych i tułowia. W badaniu ukształtowania kręgosłupa lędźwiowego wykazano znaczne zwiększenie parametrów opisujących lordozę oraz, iż ulegają one istotnemu zwiększeniu razem z długością stażu treningowego. Analiza stanu krążków międzykręgowych na podstawie </w:t>
      </w:r>
      <w:proofErr w:type="spellStart"/>
      <w:r w:rsidRPr="00E80344">
        <w:rPr>
          <w:sz w:val="24"/>
          <w:szCs w:val="24"/>
        </w:rPr>
        <w:t>tomogramów</w:t>
      </w:r>
      <w:proofErr w:type="spellEnd"/>
      <w:r w:rsidRPr="00E80344">
        <w:rPr>
          <w:sz w:val="24"/>
          <w:szCs w:val="24"/>
        </w:rPr>
        <w:t xml:space="preserve"> i opinii lekarza radiologa wykazała, iż uległy one znacznym zmianom degeneracyjnym - u większości zawodników zaobserwowano przepukliny krążków oraz zmniejszenie ich wysokości. Badanie gęstości radiologicznej trzonów kręgowych wykazało jej znaczne zwiększenie w większości analizowanych próbek, podobnie jak wielokrotne zwiększenie wartości modułu Younga, co oznacza, że stają się one bardziej kruche.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ab/>
        <w:t>Na podstawie obserwacji uzyskanych z wyników badań, zaprojektowano program postępowania terapeutycznego dla zawodników zaawansowanych oraz program ćwiczeń profilaktycznych dla zawodników początkujących. Składały się one z ćwiczeń izolowanie rozciągających mięśnie, które w trakcie trenowania hokeja na trawie ulegają największym przeciążeniom oraz z ćwiczeń stabilizujących odcinek lędźwiowy kręgosłupa. W zależności od stopnia zaawansowania oraz stanu zdrowia zawodników zaproponowano trening lokalnej kontroli motorycznej i trening kontroli zakresu ruchu w niskim obciążeniu lub asymetryczne wzmacnianie mięśni w wysokim obciążeniu.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ab/>
        <w:t>Wykazano, że hokej na trawie to dyscyplina, która może prowadzić do powstawania poważnych zmian patologicznych w kręgosłupie, których intensywność bezpośrednio zależy od długości stażu treningowego. Na tej podstawie postawiono wnioski aplikacyjne, tzn. w każdym klubie zawodnicy powinni mieć stały dostęp do fizjoterapeuty, który mógłby wprowadzać wczesne postępowanie terapeutyczne; należy wprowadzić obiektywne badania kwalifikujące zawodników do uprawiania dyscypliny, tj. analizę stanu funkcjonalnego kręgosłupa na podstawie badań obrazowych kręgosłupa; sugeruje się wprowadzenie zmian w przepisach dyscypliny - głównie możliwości zwiększenia maksymalnej długości laski hokejowej, aby zawodnicy nie byli narażani na wykonywanie dużego zgięcia kręgosłupa lędźwiowego do przodu.</w:t>
      </w: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</w:p>
    <w:p w:rsidR="00E80344" w:rsidRPr="00E80344" w:rsidRDefault="00E80344" w:rsidP="00E80344">
      <w:pPr>
        <w:pStyle w:val="Zwykytekst"/>
        <w:spacing w:line="360" w:lineRule="auto"/>
        <w:rPr>
          <w:sz w:val="24"/>
          <w:szCs w:val="24"/>
        </w:rPr>
      </w:pPr>
      <w:r w:rsidRPr="00E80344">
        <w:rPr>
          <w:sz w:val="24"/>
          <w:szCs w:val="24"/>
        </w:rPr>
        <w:t>Krzysztof Kawałek</w:t>
      </w:r>
    </w:p>
    <w:p w:rsidR="00485434" w:rsidRDefault="00485434" w:rsidP="00E80344">
      <w:pPr>
        <w:spacing w:after="0" w:line="360" w:lineRule="auto"/>
      </w:pPr>
    </w:p>
    <w:sectPr w:rsidR="0048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44"/>
    <w:rsid w:val="0028073F"/>
    <w:rsid w:val="00485434"/>
    <w:rsid w:val="00E80344"/>
    <w:rsid w:val="00F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80344"/>
    <w:pPr>
      <w:spacing w:after="0" w:line="240" w:lineRule="auto"/>
    </w:pPr>
    <w:rPr>
      <w:rFonts w:ascii="Cambria" w:hAnsi="Cambria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0344"/>
    <w:rPr>
      <w:rFonts w:ascii="Cambria" w:hAnsi="Cambr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80344"/>
    <w:pPr>
      <w:spacing w:after="0" w:line="240" w:lineRule="auto"/>
    </w:pPr>
    <w:rPr>
      <w:rFonts w:ascii="Cambria" w:hAnsi="Cambria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0344"/>
    <w:rPr>
      <w:rFonts w:ascii="Cambria" w:hAnsi="Cambr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w Poznaniu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2015-09-28T11:36:00Z</dcterms:created>
  <dcterms:modified xsi:type="dcterms:W3CDTF">2015-10-01T07:19:00Z</dcterms:modified>
</cp:coreProperties>
</file>